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F0" w:rsidRDefault="001445FE">
      <w:pPr>
        <w:pStyle w:val="21"/>
        <w:shd w:val="clear" w:color="auto" w:fill="auto"/>
        <w:spacing w:after="0" w:line="319" w:lineRule="exact"/>
        <w:ind w:firstLine="740"/>
        <w:jc w:val="both"/>
      </w:pPr>
      <w:r>
        <w:t>В целях повышения эффективности работы предприятий жилищн</w:t>
      </w:r>
      <w:proofErr w:type="gramStart"/>
      <w:r>
        <w:t>о-</w:t>
      </w:r>
      <w:proofErr w:type="gramEnd"/>
      <w:r>
        <w:t xml:space="preserve"> </w:t>
      </w:r>
      <w:r>
        <w:t>коммунального хозяйства, недопущения роста задолженности и усиления общественного контроля в сфере жилищно-коммунального хозяйства на территории Республики Тыва созданы и действуют:</w:t>
      </w:r>
    </w:p>
    <w:p w:rsidR="009D2CF0" w:rsidRDefault="001445FE">
      <w:pPr>
        <w:pStyle w:val="21"/>
        <w:shd w:val="clear" w:color="auto" w:fill="auto"/>
        <w:spacing w:after="0" w:line="319" w:lineRule="exact"/>
        <w:ind w:firstLine="740"/>
        <w:jc w:val="both"/>
      </w:pPr>
      <w:r>
        <w:t>при Правительстве Республики Тыва - общественный совет по вопросам жилищно</w:t>
      </w:r>
      <w:r>
        <w:t>-коммунального хозяйства и межотраслевой совет потребителей по вопросам деятельности субъектов естественных монополий;</w:t>
      </w:r>
    </w:p>
    <w:p w:rsidR="009D2CF0" w:rsidRDefault="001445FE">
      <w:pPr>
        <w:pStyle w:val="21"/>
        <w:shd w:val="clear" w:color="auto" w:fill="auto"/>
        <w:spacing w:after="0" w:line="319" w:lineRule="exact"/>
        <w:ind w:firstLine="740"/>
        <w:jc w:val="both"/>
      </w:pPr>
      <w:r>
        <w:t>при Общественной палате Республики Тыва - региональный центр общественного контроля в сфере жилищно-коммунального хозяйства;</w:t>
      </w:r>
    </w:p>
    <w:p w:rsidR="009D2CF0" w:rsidRDefault="001445FE">
      <w:pPr>
        <w:pStyle w:val="21"/>
        <w:shd w:val="clear" w:color="auto" w:fill="auto"/>
        <w:spacing w:after="0" w:line="319" w:lineRule="exact"/>
        <w:ind w:firstLine="740"/>
        <w:jc w:val="both"/>
      </w:pPr>
      <w:r>
        <w:t>при Некоммер</w:t>
      </w:r>
      <w:r>
        <w:t>ческом фонде капитального ремонта многоквартирных домов в Республики Тыва - общественный совет;</w:t>
      </w:r>
    </w:p>
    <w:p w:rsidR="009D2CF0" w:rsidRDefault="001445FE">
      <w:pPr>
        <w:pStyle w:val="21"/>
        <w:shd w:val="clear" w:color="auto" w:fill="auto"/>
        <w:spacing w:after="0" w:line="319" w:lineRule="exact"/>
        <w:ind w:firstLine="740"/>
        <w:jc w:val="both"/>
      </w:pPr>
      <w:r>
        <w:t>при муниципальных образованиях Республики Тыва - общественные советы по вопросам жилищно-коммунального хозяйства;</w:t>
      </w:r>
    </w:p>
    <w:p w:rsidR="009D2CF0" w:rsidRDefault="001445FE">
      <w:pPr>
        <w:pStyle w:val="21"/>
        <w:shd w:val="clear" w:color="auto" w:fill="auto"/>
        <w:spacing w:after="0" w:line="319" w:lineRule="exact"/>
        <w:ind w:firstLine="740"/>
        <w:jc w:val="both"/>
      </w:pPr>
      <w:r>
        <w:t xml:space="preserve">центры </w:t>
      </w:r>
      <w:proofErr w:type="gramStart"/>
      <w:r>
        <w:t>поддержки собственников многоквартирных</w:t>
      </w:r>
      <w:r>
        <w:t xml:space="preserve"> домов муниципальных образований Республики</w:t>
      </w:r>
      <w:proofErr w:type="gramEnd"/>
      <w:r>
        <w:t xml:space="preserve"> Тыва;</w:t>
      </w:r>
    </w:p>
    <w:p w:rsidR="009D2CF0" w:rsidRDefault="001445FE">
      <w:pPr>
        <w:pStyle w:val="21"/>
        <w:shd w:val="clear" w:color="auto" w:fill="auto"/>
        <w:spacing w:after="0" w:line="319" w:lineRule="exact"/>
        <w:ind w:firstLine="740"/>
        <w:jc w:val="both"/>
      </w:pPr>
      <w:r>
        <w:t xml:space="preserve">адвокатская контора «Кызылский городской филиал </w:t>
      </w:r>
      <w:proofErr w:type="gramStart"/>
      <w:r>
        <w:t>Тувинского</w:t>
      </w:r>
      <w:proofErr w:type="gramEnd"/>
      <w:r>
        <w:t xml:space="preserve"> республиканского общественного контроля правозащитного движения по вопросам жилищно-коммунальных услуг».</w:t>
      </w:r>
    </w:p>
    <w:p w:rsidR="009D2CF0" w:rsidRDefault="001445FE" w:rsidP="00B67C21">
      <w:pPr>
        <w:pStyle w:val="21"/>
        <w:shd w:val="clear" w:color="auto" w:fill="auto"/>
        <w:spacing w:after="0" w:line="319" w:lineRule="exact"/>
        <w:ind w:firstLine="740"/>
        <w:jc w:val="both"/>
      </w:pPr>
      <w:r>
        <w:t>На сегодняшний день в Республике Тыва пред</w:t>
      </w:r>
      <w:r>
        <w:t>приятий жилищн</w:t>
      </w:r>
      <w:proofErr w:type="gramStart"/>
      <w:r>
        <w:t>о-</w:t>
      </w:r>
      <w:proofErr w:type="gramEnd"/>
      <w:r>
        <w:t xml:space="preserve"> коммунального хозяйства, систематически не выполняющих обязательства по предоставлению жилищно-коммунальных услуг, не выявлено.</w:t>
      </w:r>
      <w:r w:rsidR="00B67C21">
        <w:t xml:space="preserve"> </w:t>
      </w:r>
      <w:r>
        <w:t xml:space="preserve">В республике функционируют 9 малых котельных и 6 </w:t>
      </w:r>
      <w:proofErr w:type="spellStart"/>
      <w:r>
        <w:t>водоснабжающих</w:t>
      </w:r>
      <w:proofErr w:type="spellEnd"/>
      <w:r>
        <w:t xml:space="preserve"> организаций коммунального комплекса.</w:t>
      </w:r>
    </w:p>
    <w:p w:rsidR="009D2CF0" w:rsidRDefault="001445FE">
      <w:pPr>
        <w:pStyle w:val="21"/>
        <w:shd w:val="clear" w:color="auto" w:fill="auto"/>
        <w:spacing w:after="0" w:line="322" w:lineRule="exact"/>
        <w:ind w:firstLine="740"/>
        <w:jc w:val="both"/>
      </w:pPr>
      <w:r>
        <w:t>Для контр</w:t>
      </w:r>
      <w:r>
        <w:t>оля за кредиторской и дебиторской задолженностью предприятий Министерством строительства и жилищно-коммунального хозяйства Республики Тыва ведется ежемесячный мониторинг. Для взыскания задолженности за оказанные жилищно-коммунальные услуги с населения пред</w:t>
      </w:r>
      <w:r>
        <w:t xml:space="preserve">приятиями поданы 9 485 исковых заявлений на сумму </w:t>
      </w:r>
      <w:r>
        <w:rPr>
          <w:rStyle w:val="22"/>
        </w:rPr>
        <w:t>54</w:t>
      </w:r>
      <w:r>
        <w:rPr>
          <w:rStyle w:val="2Arial10pt"/>
        </w:rPr>
        <w:t xml:space="preserve"> </w:t>
      </w:r>
      <w:r>
        <w:rPr>
          <w:rStyle w:val="22"/>
        </w:rPr>
        <w:t>337</w:t>
      </w:r>
      <w:r>
        <w:rPr>
          <w:rStyle w:val="2Arial10pt"/>
        </w:rPr>
        <w:t xml:space="preserve"> </w:t>
      </w:r>
      <w:r>
        <w:t>млн. рублей. Судебными приставами в пользу объектов жилищно-коммунального хозяйства взыскано всего 9 646 млн. рублей, что составляет 21 % от общей суммы принятых судебных решений.</w:t>
      </w:r>
    </w:p>
    <w:p w:rsidR="009D2CF0" w:rsidRDefault="001445FE">
      <w:pPr>
        <w:pStyle w:val="21"/>
        <w:shd w:val="clear" w:color="auto" w:fill="auto"/>
        <w:spacing w:after="0" w:line="322" w:lineRule="exact"/>
        <w:ind w:firstLine="740"/>
        <w:jc w:val="both"/>
      </w:pPr>
      <w:r>
        <w:t>Также вопрос о недо</w:t>
      </w:r>
      <w:r>
        <w:t>пущении роста задолженности в сфере жилищн</w:t>
      </w:r>
      <w:proofErr w:type="gramStart"/>
      <w:r>
        <w:t>о-</w:t>
      </w:r>
      <w:proofErr w:type="gramEnd"/>
      <w:r>
        <w:t xml:space="preserve"> коммунального хозяйства постоянно рассматривается на аппаратных совещаниях Правительства Республики Тыва.</w:t>
      </w:r>
    </w:p>
    <w:p w:rsidR="009D2CF0" w:rsidRDefault="001445FE">
      <w:pPr>
        <w:pStyle w:val="21"/>
        <w:shd w:val="clear" w:color="auto" w:fill="auto"/>
        <w:spacing w:after="0" w:line="322" w:lineRule="exact"/>
        <w:ind w:firstLine="740"/>
        <w:jc w:val="both"/>
      </w:pPr>
      <w:r>
        <w:t>Предприятиями жилищно-коммунального хозяйства регулярно проводятся рейды и месячники по сбору платежей, з</w:t>
      </w:r>
      <w:r>
        <w:t>аключаются соглашения о предоставлении субсидий на погашение задолженности за оказанные услуги организаций коммунального комплекса.</w:t>
      </w:r>
    </w:p>
    <w:p w:rsidR="009D2CF0" w:rsidRDefault="001445FE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снижения задолженности потребителей энергоресурсов на территории Республики Тыва утвержден План мероприятий (дорожна</w:t>
      </w:r>
      <w:r>
        <w:t xml:space="preserve">я карта) (распоряжение Правительства Республики Тыва от </w:t>
      </w:r>
      <w:r>
        <w:rPr>
          <w:rStyle w:val="22"/>
        </w:rPr>
        <w:t>20</w:t>
      </w:r>
      <w:r>
        <w:rPr>
          <w:rStyle w:val="2Arial10pt"/>
        </w:rPr>
        <w:t>.</w:t>
      </w:r>
      <w:r>
        <w:rPr>
          <w:rStyle w:val="22"/>
        </w:rPr>
        <w:t>02.2017</w:t>
      </w:r>
      <w:r>
        <w:rPr>
          <w:rStyle w:val="2Arial10pt"/>
        </w:rPr>
        <w:t xml:space="preserve"> </w:t>
      </w:r>
      <w:r>
        <w:t>г. № 83-р).</w:t>
      </w:r>
    </w:p>
    <w:p w:rsidR="009D2CF0" w:rsidRDefault="001445FE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результате принятых органами исполнительной власти, органами местного самоуправления мер удалось на 2 % снизить задолженность за оказанные жилищн</w:t>
      </w:r>
      <w:proofErr w:type="gramStart"/>
      <w:r>
        <w:t>о-</w:t>
      </w:r>
      <w:proofErr w:type="gramEnd"/>
      <w:r>
        <w:t xml:space="preserve"> коммунальные услуги по срав</w:t>
      </w:r>
      <w:r>
        <w:t xml:space="preserve">нению с третьим кварталом </w:t>
      </w:r>
      <w:r>
        <w:rPr>
          <w:rStyle w:val="22"/>
        </w:rPr>
        <w:t>2017</w:t>
      </w:r>
      <w:r>
        <w:rPr>
          <w:rStyle w:val="2Arial10pt"/>
        </w:rPr>
        <w:t xml:space="preserve"> </w:t>
      </w:r>
      <w:r>
        <w:t>года.</w:t>
      </w:r>
      <w:bookmarkStart w:id="0" w:name="_GoBack"/>
      <w:bookmarkEnd w:id="0"/>
    </w:p>
    <w:sectPr w:rsidR="009D2CF0">
      <w:headerReference w:type="even" r:id="rId7"/>
      <w:footerReference w:type="even" r:id="rId8"/>
      <w:pgSz w:w="11900" w:h="16840"/>
      <w:pgMar w:top="1239" w:right="560" w:bottom="1799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FE" w:rsidRDefault="001445FE">
      <w:r>
        <w:separator/>
      </w:r>
    </w:p>
  </w:endnote>
  <w:endnote w:type="continuationSeparator" w:id="0">
    <w:p w:rsidR="001445FE" w:rsidRDefault="0014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F0" w:rsidRDefault="001445F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8pt;margin-top:763.85pt;width:135.2pt;height:8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2CF0" w:rsidRDefault="001445F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Е.Ю. Овсянников (39422) 23778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FE" w:rsidRDefault="001445FE"/>
  </w:footnote>
  <w:footnote w:type="continuationSeparator" w:id="0">
    <w:p w:rsidR="001445FE" w:rsidRDefault="001445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F0" w:rsidRDefault="001445F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15pt;margin-top:36.3pt;width:6.1pt;height:9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2CF0" w:rsidRDefault="001445F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2CF0"/>
    <w:rsid w:val="001445FE"/>
    <w:rsid w:val="009D2CF0"/>
    <w:rsid w:val="00B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imesNewRoman65ptExact">
    <w:name w:val="Подпись к картинке + Times New Roman;6;5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FranklinGothicMedium6pt0ptExact">
    <w:name w:val="Подпись к картинке + Franklin Gothic Medium;6 pt;Не курсив;Интервал 0 pt Exact"/>
    <w:basedOn w:val="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1">
    <w:name w:val="Подпись к картинке + Не курсив Exact"/>
    <w:basedOn w:val="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Arial8ptExact">
    <w:name w:val="Подпись к картинке (3) + Arial;8 pt;Не курсив Exact"/>
    <w:basedOn w:val="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Arial8ptExact0">
    <w:name w:val="Подпись к картинке (3) + Arial;8 pt;Не курсив Exact"/>
    <w:basedOn w:val="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Exact">
    <w:name w:val="Подпись к картинке (4) + 12 pt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pt">
    <w:name w:val="Основной текст (2) + Arial;10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Exact">
    <w:name w:val="Подпись к картинке (5) + Times New Roman;Не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3Candara5pt">
    <w:name w:val="Основной текст (3) + Candara;5 pt;Не полужирный"/>
    <w:basedOn w:val="3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4pt">
    <w:name w:val="Основной текст (3) + 4 pt;Не полужирный;Не курсив"/>
    <w:basedOn w:val="3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4pt">
    <w:name w:val="Основной текст (3) + Times New Roman;4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Cambria" w:eastAsia="Cambria" w:hAnsi="Cambria" w:cs="Cambri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Arial5pt">
    <w:name w:val="Основной текст (4) + Arial;5 pt;Не курсив"/>
    <w:basedOn w:val="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Tahoma5pt">
    <w:name w:val="Основной текст (4) + Tahoma;5 pt"/>
    <w:basedOn w:val="4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0pt">
    <w:name w:val="Основной текст (4) + 10 pt;Не курсив"/>
    <w:basedOn w:val="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47" w:lineRule="exact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after="60" w:line="0" w:lineRule="atLeast"/>
      <w:jc w:val="center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080" w:line="144" w:lineRule="exact"/>
      <w:jc w:val="both"/>
    </w:pPr>
    <w:rPr>
      <w:rFonts w:ascii="Arial" w:eastAsia="Arial" w:hAnsi="Arial" w:cs="Arial"/>
      <w:b/>
      <w:bCs/>
      <w:i/>
      <w:iCs/>
      <w:sz w:val="9"/>
      <w:szCs w:val="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240" w:line="144" w:lineRule="exact"/>
      <w:jc w:val="both"/>
    </w:pPr>
    <w:rPr>
      <w:rFonts w:ascii="Cambria" w:eastAsia="Cambria" w:hAnsi="Cambria" w:cs="Cambria"/>
      <w:i/>
      <w:iCs/>
      <w:sz w:val="11"/>
      <w:szCs w:val="1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900" w:line="0" w:lineRule="atLeast"/>
      <w:jc w:val="both"/>
    </w:pPr>
    <w:rPr>
      <w:rFonts w:ascii="Candara" w:eastAsia="Candara" w:hAnsi="Candara" w:cs="Candara"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277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Балчый Л.С.</cp:lastModifiedBy>
  <cp:revision>2</cp:revision>
  <dcterms:created xsi:type="dcterms:W3CDTF">2018-03-12T07:38:00Z</dcterms:created>
  <dcterms:modified xsi:type="dcterms:W3CDTF">2018-03-12T07:39:00Z</dcterms:modified>
</cp:coreProperties>
</file>